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endnotes.xml" ContentType="application/vnd.openxmlformats-officedocument.wordprocessingml.endnotes+xml"/>
  <Override PartName="/word/footnotes.xml" ContentType="application/vnd.openxmlformats-officedocument.wordprocessingml.footnotes+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DC12850" w14:textId="45824369">
      <w:pPr>
        <w:pStyle w:val="694"/>
        <w:pBdr/>
        <w:spacing/>
        <w:ind/>
        <w:rPr/>
      </w:pPr>
      <w:r>
        <w:t xml:space="preserve">Schéma pluriannuel d’accessibilité numérique</w:t>
      </w:r>
      <w:r>
        <w:t xml:space="preserve"> d</w:t>
      </w:r>
      <w:r>
        <w:t xml:space="preserve">u site</w:t>
      </w:r>
      <w:r>
        <w:t xml:space="preserve"> </w:t>
      </w:r>
      <w:r>
        <w:t xml:space="preserve">Attestations-Construction – 2026-2028</w:t>
      </w:r>
      <w:r/>
    </w:p>
    <w:p w14:paraId="3B5256FC" w14:textId="3854EAC0">
      <w:pPr>
        <w:pStyle w:val="695"/>
        <w:numPr>
          <w:ilvl w:val="0"/>
          <w:numId w:val="13"/>
        </w:numPr>
        <w:pBdr/>
        <w:spacing/>
        <w:ind/>
        <w:rPr/>
      </w:pPr>
      <w:r>
        <w:t xml:space="preserve">Introduction</w:t>
      </w:r>
      <w:r/>
    </w:p>
    <w:p w14:paraId="60DFDB89" w14:textId="77777777">
      <w:pPr>
        <w:pBdr/>
        <w:spacing/>
        <w:ind/>
        <w:rPr/>
      </w:pPr>
      <w:r>
        <w:t xml:space="preserve">Dans le cadre de l’article 47 de la loi n° 2005-102 du 11 février 2005, le disposit</w:t>
      </w:r>
      <w:r>
        <w:t xml:space="preserve">if Attestations-Construction s’inscrit dans une démarche d’amélioration continue de l’accessibilité numérique. L’objectif est de garantir un accès équitable aux services en ligne pour l’ensemble des usagers, y compris les personnes en situation de handicap.</w:t>
      </w:r>
      <w:r/>
    </w:p>
    <w:p w14:paraId="24F9B863" w14:textId="4119687D">
      <w:pPr>
        <w:pBdr/>
        <w:spacing/>
        <w:ind/>
        <w:rPr/>
      </w:pPr>
      <w:r>
        <w:t xml:space="preserve">Ce schéma pluriannuel formalis</w:t>
      </w:r>
      <w:r>
        <w:t xml:space="preserve">e la stratégie retenue sur une période de trois ans, en définissant les orientations, les moyens mobilisés et les actions à mettre en œuvre pour atteindre un niveau de conformité satisfaisant au Référentiel Général d’Amélioration de l’Accessibilité (RGAA).</w:t>
      </w:r>
      <w:r/>
    </w:p>
    <w:p w14:paraId="1B237CF1" w14:textId="066CA35D">
      <w:pPr>
        <w:pStyle w:val="695"/>
        <w:numPr>
          <w:ilvl w:val="0"/>
          <w:numId w:val="13"/>
        </w:numPr>
        <w:pBdr/>
        <w:spacing/>
        <w:ind/>
        <w:rPr/>
      </w:pPr>
      <w:r>
        <w:t xml:space="preserve">Périmètre d’application</w:t>
      </w:r>
      <w:r/>
    </w:p>
    <w:p w14:paraId="42CD4978" w14:textId="3CB1B875">
      <w:pPr>
        <w:pBdr/>
        <w:spacing/>
        <w:ind/>
        <w:rPr/>
      </w:pPr>
      <w:r>
        <w:t xml:space="preserve">Le présent schéma couvre l’ensemble des services numériques relevant du périmètre Attestations-Construction, en particulier le site web principal ainsi que les interfaces associées exposées via les APIs. </w:t>
      </w:r>
      <w:r/>
    </w:p>
    <w:p w14:paraId="58886539" w14:textId="415D2059">
      <w:pPr>
        <w:pStyle w:val="695"/>
        <w:numPr>
          <w:ilvl w:val="0"/>
          <w:numId w:val="13"/>
        </w:numPr>
        <w:pBdr/>
        <w:spacing/>
        <w:ind/>
        <w:rPr/>
      </w:pPr>
      <w:r>
        <w:t xml:space="preserve">Politique et engagements</w:t>
      </w:r>
      <w:r/>
    </w:p>
    <w:p w14:paraId="03A01361" w14:textId="77777777">
      <w:pPr>
        <w:pBdr/>
        <w:spacing/>
        <w:ind/>
        <w:rPr/>
      </w:pPr>
      <w:r>
        <w:t xml:space="preserve">Attestations-Construction adopte une approche proactive en matière d’accessibilité, intégrée dès les phases amont des projets numériques. Cette politique repose sur plusieurs principes structurants :</w:t>
      </w:r>
      <w:r/>
    </w:p>
    <w:p w14:paraId="2F141148" w14:textId="77777777">
      <w:pPr>
        <w:pStyle w:val="721"/>
        <w:numPr>
          <w:ilvl w:val="0"/>
          <w:numId w:val="11"/>
        </w:numPr>
        <w:pBdr/>
        <w:spacing/>
        <w:ind/>
        <w:rPr/>
      </w:pPr>
      <w:r>
        <w:t xml:space="preserve">La prise en compte systématique de l’accessibilité dès la conception des interfaces</w:t>
      </w:r>
      <w:r/>
    </w:p>
    <w:p w14:paraId="2FE7D4F8" w14:textId="77777777">
      <w:pPr>
        <w:pStyle w:val="721"/>
        <w:numPr>
          <w:ilvl w:val="0"/>
          <w:numId w:val="11"/>
        </w:numPr>
        <w:pBdr/>
        <w:spacing/>
        <w:ind/>
        <w:rPr/>
      </w:pPr>
      <w:r>
        <w:t xml:space="preserve">L’alignement avec les exigences du RGAA au niveau AA</w:t>
      </w:r>
      <w:r/>
    </w:p>
    <w:p w14:paraId="6BE1F174" w14:textId="6BA01AE1">
      <w:pPr>
        <w:pStyle w:val="721"/>
        <w:numPr>
          <w:ilvl w:val="0"/>
          <w:numId w:val="11"/>
        </w:numPr>
        <w:pBdr/>
        <w:spacing/>
        <w:ind/>
        <w:rPr/>
      </w:pPr>
      <w:r>
        <w:t xml:space="preserve">L’intégration d</w:t>
      </w:r>
      <w:r>
        <w:t xml:space="preserve">’audit RGAA</w:t>
      </w:r>
      <w:r/>
    </w:p>
    <w:p w14:paraId="55F8D44B" w14:textId="77777777">
      <w:pPr>
        <w:pStyle w:val="721"/>
        <w:numPr>
          <w:ilvl w:val="0"/>
          <w:numId w:val="11"/>
        </w:numPr>
        <w:pBdr/>
        <w:spacing/>
        <w:ind/>
        <w:rPr/>
      </w:pPr>
      <w:r>
        <w:t xml:space="preserve">La sensibilisation continue des équipes aux enjeux d’accessibilité</w:t>
      </w:r>
      <w:r/>
    </w:p>
    <w:p w14:paraId="1A497E91" w14:textId="147FC819">
      <w:pPr>
        <w:pBdr/>
        <w:spacing/>
        <w:ind/>
        <w:rPr/>
      </w:pPr>
      <w:r>
        <w:t xml:space="preserve">Cette démarche vise non seulement la conformité réglementaire, mais également l’amélioration globale de l’expérience utilisateur.</w:t>
      </w:r>
      <w:r/>
    </w:p>
    <w:p w14:paraId="1089417E" w14:textId="1974CAA8">
      <w:pPr>
        <w:pStyle w:val="695"/>
        <w:numPr>
          <w:ilvl w:val="0"/>
          <w:numId w:val="13"/>
        </w:numPr>
        <w:pBdr/>
        <w:spacing/>
        <w:ind/>
        <w:rPr/>
      </w:pPr>
      <w:r>
        <w:t xml:space="preserve">Ressources mobilisées</w:t>
      </w:r>
      <w:r/>
    </w:p>
    <w:p w14:paraId="7CA236D1" w14:textId="77777777">
      <w:pPr>
        <w:pBdr/>
        <w:spacing/>
        <w:ind/>
        <w:rPr/>
      </w:pPr>
      <w:r>
        <w:t xml:space="preserve">La mise en œuvre de la stratégie </w:t>
      </w:r>
      <w:r>
        <w:t xml:space="preserve">d’accessibilité s’appuie sur des ressources humaines et techniques adaptées. Les équipes MOA et MOE sont impliquées dans la prise en compte des exigences RGAA, avec un appui ponctuel de prestataires spécialisés pour la réalisation d’audits ou d’expertises.</w:t>
      </w:r>
      <w:r/>
    </w:p>
    <w:p w14:paraId="74CE7C87" w14:textId="72C03D3B">
      <w:pPr>
        <w:pBdr/>
        <w:spacing/>
        <w:ind/>
        <w:rPr/>
      </w:pPr>
      <w:r>
        <w:t xml:space="preserve">Un budget spécifique est également réservé aux actions d’audit et de mise en conformité.</w:t>
      </w:r>
      <w:r/>
    </w:p>
    <w:p w14:paraId="308C332A" w14:textId="679C87A4">
      <w:pPr>
        <w:pStyle w:val="695"/>
        <w:numPr>
          <w:ilvl w:val="0"/>
          <w:numId w:val="13"/>
        </w:numPr>
        <w:pBdr/>
        <w:spacing/>
        <w:ind/>
        <w:rPr/>
      </w:pPr>
      <w:r>
        <w:t xml:space="preserve">État des lieux initial</w:t>
      </w:r>
      <w:r/>
    </w:p>
    <w:p w14:paraId="0D93B04C" w14:textId="070E33B9">
      <w:pPr>
        <w:pBdr/>
        <w:spacing/>
        <w:ind/>
        <w:rPr/>
      </w:pPr>
      <w:r>
        <w:t xml:space="preserve">Un audit d’accessibilité </w:t>
      </w:r>
      <w:r>
        <w:t xml:space="preserve">a été</w:t>
      </w:r>
      <w:r>
        <w:t xml:space="preserve"> réalisé </w:t>
      </w:r>
      <w:r>
        <w:t xml:space="preserve">en 2026</w:t>
      </w:r>
      <w:r>
        <w:t xml:space="preserve"> afin de disposer d’un état des lieux précis du niveau de conformité. Cet audit </w:t>
      </w:r>
      <w:r>
        <w:t xml:space="preserve">a </w:t>
      </w:r>
      <w:r>
        <w:t xml:space="preserve">perm</w:t>
      </w:r>
      <w:r>
        <w:t xml:space="preserve">is</w:t>
      </w:r>
      <w:r>
        <w:t xml:space="preserve"> d’identifier les principaux écarts vis-à-vis du RGAA, notamment en matière de navigation clavier, de gestion des contrastes ou encore de structuration des contenus.</w:t>
      </w:r>
      <w:r/>
    </w:p>
    <w:p w14:paraId="07E34B62" w14:textId="09610204">
      <w:pPr>
        <w:pBdr/>
        <w:spacing/>
        <w:ind/>
        <w:rPr/>
      </w:pPr>
      <w:r>
        <w:t xml:space="preserve">Sur la base de ces résultats, une priorisation des corrections </w:t>
      </w:r>
      <w:r>
        <w:t xml:space="preserve">a été</w:t>
      </w:r>
      <w:r>
        <w:t xml:space="preserve"> établie, en fonction de l’impact sur les parcours utilisateurs.</w:t>
      </w:r>
      <w:r/>
    </w:p>
    <w:p w14:paraId="35CFAB85" w14:textId="5A5D9836">
      <w:pPr>
        <w:pStyle w:val="695"/>
        <w:numPr>
          <w:ilvl w:val="0"/>
          <w:numId w:val="13"/>
        </w:numPr>
        <w:pBdr/>
        <w:spacing/>
        <w:ind/>
        <w:rPr/>
      </w:pPr>
      <w:r>
        <w:t xml:space="preserve">Stratégie de mise en conformité</w:t>
      </w:r>
      <w:r/>
    </w:p>
    <w:p w14:paraId="7AF3DAA4" w14:textId="77777777">
      <w:pPr>
        <w:pBdr/>
        <w:spacing/>
        <w:ind/>
        <w:rPr/>
      </w:pPr>
      <w:r>
        <w:t xml:space="preserve">La stratégie de mise en conformité repose sur une progression par étapes, répartie sur les trois années du schéma.</w:t>
      </w:r>
      <w:r/>
    </w:p>
    <w:p w14:paraId="7817B0CC" w14:textId="5FB496CC">
      <w:pPr>
        <w:pBdr/>
        <w:spacing/>
        <w:ind/>
        <w:rPr/>
      </w:pPr>
      <w:r>
        <w:t xml:space="preserve">En 2026, les efforts seront concentrés sur la réalisation de l’audit initial et la correction des </w:t>
      </w:r>
      <w:r>
        <w:t xml:space="preserve">certaines </w:t>
      </w:r>
      <w:r>
        <w:t xml:space="preserve">non-conformités</w:t>
      </w:r>
      <w:r>
        <w:t xml:space="preserve"> importantes</w:t>
      </w:r>
      <w:r>
        <w:t xml:space="preserve"> permettant </w:t>
      </w:r>
      <w:r>
        <w:t xml:space="preserve">d’atteindre un niveau de conformité supérieur à 80%.</w:t>
      </w:r>
      <w:r/>
    </w:p>
    <w:p w14:paraId="3FE67F9D" w14:textId="4E042B2A">
      <w:pPr>
        <w:pBdr/>
        <w:spacing/>
        <w:ind/>
        <w:rPr/>
      </w:pPr>
      <w:r>
        <w:t xml:space="preserve">En 2027, la démarche sera étendue</w:t>
      </w:r>
      <w:r>
        <w:t xml:space="preserve"> aux non-conformités </w:t>
      </w:r>
      <w:r>
        <w:t xml:space="preserve">nécessitant une capacité de développement plus importante</w:t>
      </w:r>
      <w:r>
        <w:t xml:space="preserve"> en vue d’atteindre un niveau de conformité supérieur à 85%.</w:t>
      </w:r>
      <w:r/>
    </w:p>
    <w:p w14:paraId="77D1E97D" w14:textId="097D812B">
      <w:pPr>
        <w:pBdr/>
        <w:spacing/>
        <w:ind/>
        <w:rPr/>
      </w:pPr>
      <w:r>
        <w:t xml:space="preserve">Enfin, en 2028, l’objectif </w:t>
      </w:r>
      <w:r>
        <w:t xml:space="preserve">sera d</w:t>
      </w:r>
      <w:r>
        <w:t xml:space="preserve">’attendre un niveau de conformité de 90% et de valider les corrections effectives avec un audit de contrôle. </w:t>
      </w:r>
      <w:r/>
    </w:p>
    <w:p w14:paraId="4AF769C1" w14:textId="6B0227EE">
      <w:pPr>
        <w:pStyle w:val="695"/>
        <w:numPr>
          <w:ilvl w:val="0"/>
          <w:numId w:val="13"/>
        </w:numPr>
        <w:pBdr/>
        <w:spacing/>
        <w:ind/>
        <w:rPr/>
      </w:pPr>
      <w:r>
        <w:t xml:space="preserve">Suivi et amélioration continue</w:t>
      </w:r>
      <w:r/>
    </w:p>
    <w:p w14:paraId="10A0E902" w14:textId="7CF38096">
      <w:pPr>
        <w:pBdr/>
        <w:spacing/>
        <w:ind/>
        <w:rPr/>
      </w:pPr>
      <w:r>
        <w:t xml:space="preserve">Le suivi des actions est assuré à travers des points </w:t>
      </w:r>
      <w:r>
        <w:t xml:space="preserve">spécifiques</w:t>
      </w:r>
      <w:r>
        <w:t xml:space="preserve"> en gouvernance projet, ainsi que par la mise à jour annuelle du plan d’action. Les résultats obtenus sont valorisés dans la déclaration d’accessibilité et permettent d’ajuster la stratégie si nécessaire.</w:t>
      </w:r>
      <w:r/>
    </w:p>
    <w:p w14:paraId="0817A7AE" w14:textId="77777777">
      <w:pPr>
        <w:pBdr/>
        <w:spacing/>
        <w:ind/>
        <w:rPr/>
      </w:pPr>
      <w:r>
        <w:t xml:space="preserve">Une attention particulière est portée aux retours des utilisateurs, qui constituent un levier essentiel d’amélioration continue.</w:t>
      </w:r>
      <w:r/>
    </w:p>
    <w:p w14:paraId="144CC4DE" w14:textId="77777777">
      <w:pPr>
        <w:pBdr/>
        <w:spacing/>
        <w:ind/>
        <w:rPr/>
      </w:pPr>
      <w: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4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05DE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nsid w:val="04B13027"/>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nsid w:val="13C35C4C"/>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ED1089"/>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4">
    <w:nsid w:val="1D3D600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5">
    <w:nsid w:val="3CCE65E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6">
    <w:nsid w:val="3E0A3B9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42D9347A"/>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8">
    <w:nsid w:val="574D6E2A"/>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5EBC29EF"/>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0">
    <w:nsid w:val="718E1EB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1">
    <w:nsid w:val="7860525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2">
    <w:nsid w:val="7EF850C7"/>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1"/>
  </w:num>
  <w:num w:numId="2">
    <w:abstractNumId w:val="4"/>
  </w:num>
  <w:num w:numId="3">
    <w:abstractNumId w:val="7"/>
  </w:num>
  <w:num w:numId="4">
    <w:abstractNumId w:val="12"/>
  </w:num>
  <w:num w:numId="5">
    <w:abstractNumId w:val="0"/>
  </w:num>
  <w:num w:numId="6">
    <w:abstractNumId w:val="9"/>
  </w:num>
  <w:num w:numId="7">
    <w:abstractNumId w:val="10"/>
  </w:num>
  <w:num w:numId="8">
    <w:abstractNumId w:val="11"/>
  </w:num>
  <w:num w:numId="9">
    <w:abstractNumId w:val="3"/>
  </w:num>
  <w:num w:numId="10">
    <w:abstractNumId w:val="5"/>
  </w:num>
  <w:num w:numId="11">
    <w:abstractNumId w:val="2"/>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fr-FR"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0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03"/>
    <w:link w:val="694"/>
    <w:uiPriority w:val="9"/>
    <w:pPr>
      <w:pBdr/>
      <w:spacing/>
      <w:ind/>
    </w:pPr>
    <w:rPr>
      <w:rFonts w:ascii="Arial" w:hAnsi="Arial" w:eastAsia="Arial" w:cs="Arial"/>
      <w:color w:val="0f4761" w:themeColor="accent1" w:themeShade="BF"/>
      <w:sz w:val="40"/>
      <w:szCs w:val="40"/>
    </w:rPr>
  </w:style>
  <w:style w:type="character" w:styleId="151">
    <w:name w:val="Heading 2 Char"/>
    <w:basedOn w:val="703"/>
    <w:link w:val="695"/>
    <w:uiPriority w:val="9"/>
    <w:pPr>
      <w:pBdr/>
      <w:spacing/>
      <w:ind/>
    </w:pPr>
    <w:rPr>
      <w:rFonts w:ascii="Arial" w:hAnsi="Arial" w:eastAsia="Arial" w:cs="Arial"/>
      <w:color w:val="0f4761" w:themeColor="accent1" w:themeShade="BF"/>
      <w:sz w:val="32"/>
      <w:szCs w:val="32"/>
    </w:rPr>
  </w:style>
  <w:style w:type="character" w:styleId="152">
    <w:name w:val="Heading 3 Char"/>
    <w:basedOn w:val="703"/>
    <w:link w:val="696"/>
    <w:uiPriority w:val="9"/>
    <w:pPr>
      <w:pBdr/>
      <w:spacing/>
      <w:ind/>
    </w:pPr>
    <w:rPr>
      <w:rFonts w:ascii="Arial" w:hAnsi="Arial" w:eastAsia="Arial" w:cs="Arial"/>
      <w:color w:val="0f4761" w:themeColor="accent1" w:themeShade="BF"/>
      <w:sz w:val="28"/>
      <w:szCs w:val="28"/>
    </w:rPr>
  </w:style>
  <w:style w:type="character" w:styleId="153">
    <w:name w:val="Heading 4 Char"/>
    <w:basedOn w:val="703"/>
    <w:link w:val="697"/>
    <w:uiPriority w:val="9"/>
    <w:pPr>
      <w:pBdr/>
      <w:spacing/>
      <w:ind/>
    </w:pPr>
    <w:rPr>
      <w:rFonts w:ascii="Arial" w:hAnsi="Arial" w:eastAsia="Arial" w:cs="Arial"/>
      <w:i/>
      <w:iCs/>
      <w:color w:val="0f4761" w:themeColor="accent1" w:themeShade="BF"/>
    </w:rPr>
  </w:style>
  <w:style w:type="character" w:styleId="154">
    <w:name w:val="Heading 5 Char"/>
    <w:basedOn w:val="703"/>
    <w:link w:val="698"/>
    <w:uiPriority w:val="9"/>
    <w:pPr>
      <w:pBdr/>
      <w:spacing/>
      <w:ind/>
    </w:pPr>
    <w:rPr>
      <w:rFonts w:ascii="Arial" w:hAnsi="Arial" w:eastAsia="Arial" w:cs="Arial"/>
      <w:color w:val="0f4761" w:themeColor="accent1" w:themeShade="BF"/>
    </w:rPr>
  </w:style>
  <w:style w:type="character" w:styleId="155">
    <w:name w:val="Heading 6 Char"/>
    <w:basedOn w:val="703"/>
    <w:link w:val="699"/>
    <w:uiPriority w:val="9"/>
    <w:pPr>
      <w:pBdr/>
      <w:spacing/>
      <w:ind/>
    </w:pPr>
    <w:rPr>
      <w:rFonts w:ascii="Arial" w:hAnsi="Arial" w:eastAsia="Arial" w:cs="Arial"/>
      <w:i/>
      <w:iCs/>
      <w:color w:val="595959" w:themeColor="text1" w:themeTint="A6"/>
    </w:rPr>
  </w:style>
  <w:style w:type="character" w:styleId="156">
    <w:name w:val="Heading 7 Char"/>
    <w:basedOn w:val="703"/>
    <w:link w:val="700"/>
    <w:uiPriority w:val="9"/>
    <w:pPr>
      <w:pBdr/>
      <w:spacing/>
      <w:ind/>
    </w:pPr>
    <w:rPr>
      <w:rFonts w:ascii="Arial" w:hAnsi="Arial" w:eastAsia="Arial" w:cs="Arial"/>
      <w:color w:val="595959" w:themeColor="text1" w:themeTint="A6"/>
    </w:rPr>
  </w:style>
  <w:style w:type="character" w:styleId="157">
    <w:name w:val="Heading 8 Char"/>
    <w:basedOn w:val="703"/>
    <w:link w:val="701"/>
    <w:uiPriority w:val="9"/>
    <w:pPr>
      <w:pBdr/>
      <w:spacing/>
      <w:ind/>
    </w:pPr>
    <w:rPr>
      <w:rFonts w:ascii="Arial" w:hAnsi="Arial" w:eastAsia="Arial" w:cs="Arial"/>
      <w:i/>
      <w:iCs/>
      <w:color w:val="272727" w:themeColor="text1" w:themeTint="D8"/>
    </w:rPr>
  </w:style>
  <w:style w:type="character" w:styleId="158">
    <w:name w:val="Heading 9 Char"/>
    <w:basedOn w:val="703"/>
    <w:link w:val="702"/>
    <w:uiPriority w:val="9"/>
    <w:pPr>
      <w:pBdr/>
      <w:spacing/>
      <w:ind/>
    </w:pPr>
    <w:rPr>
      <w:rFonts w:ascii="Arial" w:hAnsi="Arial" w:eastAsia="Arial" w:cs="Arial"/>
      <w:i/>
      <w:iCs/>
      <w:color w:val="272727" w:themeColor="text1" w:themeTint="D8"/>
    </w:rPr>
  </w:style>
  <w:style w:type="character" w:styleId="160">
    <w:name w:val="Title Char"/>
    <w:basedOn w:val="703"/>
    <w:link w:val="715"/>
    <w:uiPriority w:val="10"/>
    <w:pPr>
      <w:pBdr/>
      <w:spacing/>
      <w:ind/>
    </w:pPr>
    <w:rPr>
      <w:rFonts w:ascii="Arial" w:hAnsi="Arial" w:eastAsia="Arial" w:cs="Arial"/>
      <w:spacing w:val="-10"/>
      <w:sz w:val="56"/>
      <w:szCs w:val="56"/>
    </w:rPr>
  </w:style>
  <w:style w:type="character" w:styleId="162">
    <w:name w:val="Subtitle Char"/>
    <w:basedOn w:val="703"/>
    <w:link w:val="717"/>
    <w:uiPriority w:val="11"/>
    <w:pPr>
      <w:pBdr/>
      <w:spacing/>
      <w:ind/>
    </w:pPr>
    <w:rPr>
      <w:color w:val="595959" w:themeColor="text1" w:themeTint="A6"/>
      <w:spacing w:val="15"/>
      <w:sz w:val="28"/>
      <w:szCs w:val="28"/>
    </w:rPr>
  </w:style>
  <w:style w:type="character" w:styleId="164">
    <w:name w:val="Quote Char"/>
    <w:basedOn w:val="703"/>
    <w:link w:val="719"/>
    <w:uiPriority w:val="29"/>
    <w:pPr>
      <w:pBdr/>
      <w:spacing/>
      <w:ind/>
    </w:pPr>
    <w:rPr>
      <w:i/>
      <w:iCs/>
      <w:color w:val="404040" w:themeColor="text1" w:themeTint="BF"/>
    </w:rPr>
  </w:style>
  <w:style w:type="character" w:styleId="168">
    <w:name w:val="Intense Quote Char"/>
    <w:basedOn w:val="703"/>
    <w:link w:val="723"/>
    <w:uiPriority w:val="30"/>
    <w:pPr>
      <w:pBdr/>
      <w:spacing/>
      <w:ind/>
    </w:pPr>
    <w:rPr>
      <w:i/>
      <w:iCs/>
      <w:color w:val="0f4761" w:themeColor="accent1" w:themeShade="BF"/>
    </w:rPr>
  </w:style>
  <w:style w:type="paragraph" w:styleId="170">
    <w:name w:val="No Spacing"/>
    <w:basedOn w:val="693"/>
    <w:uiPriority w:val="1"/>
    <w:qFormat/>
    <w:pPr>
      <w:pBdr/>
      <w:spacing w:after="0" w:line="240" w:lineRule="auto"/>
      <w:ind/>
    </w:pPr>
  </w:style>
  <w:style w:type="character" w:styleId="171">
    <w:name w:val="Subtle Emphasis"/>
    <w:basedOn w:val="703"/>
    <w:uiPriority w:val="19"/>
    <w:qFormat/>
    <w:pPr>
      <w:pBdr/>
      <w:spacing/>
      <w:ind/>
    </w:pPr>
    <w:rPr>
      <w:i/>
      <w:iCs/>
      <w:color w:val="404040" w:themeColor="text1" w:themeTint="BF"/>
    </w:rPr>
  </w:style>
  <w:style w:type="character" w:styleId="172">
    <w:name w:val="Emphasis"/>
    <w:basedOn w:val="703"/>
    <w:uiPriority w:val="20"/>
    <w:qFormat/>
    <w:pPr>
      <w:pBdr/>
      <w:spacing/>
      <w:ind/>
    </w:pPr>
    <w:rPr>
      <w:i/>
      <w:iCs/>
    </w:rPr>
  </w:style>
  <w:style w:type="character" w:styleId="173">
    <w:name w:val="Strong"/>
    <w:basedOn w:val="703"/>
    <w:uiPriority w:val="22"/>
    <w:qFormat/>
    <w:pPr>
      <w:pBdr/>
      <w:spacing/>
      <w:ind/>
    </w:pPr>
    <w:rPr>
      <w:b/>
      <w:bCs/>
    </w:rPr>
  </w:style>
  <w:style w:type="character" w:styleId="174">
    <w:name w:val="Subtle Reference"/>
    <w:basedOn w:val="703"/>
    <w:uiPriority w:val="31"/>
    <w:qFormat/>
    <w:pPr>
      <w:pBdr/>
      <w:spacing/>
      <w:ind/>
    </w:pPr>
    <w:rPr>
      <w:smallCaps/>
      <w:color w:val="5a5a5a" w:themeColor="text1" w:themeTint="A5"/>
    </w:rPr>
  </w:style>
  <w:style w:type="character" w:styleId="175">
    <w:name w:val="Book Title"/>
    <w:basedOn w:val="703"/>
    <w:uiPriority w:val="33"/>
    <w:qFormat/>
    <w:pPr>
      <w:pBdr/>
      <w:spacing/>
      <w:ind/>
    </w:pPr>
    <w:rPr>
      <w:b/>
      <w:bCs/>
      <w:i/>
      <w:iCs/>
      <w:spacing w:val="5"/>
    </w:rPr>
  </w:style>
  <w:style w:type="paragraph" w:styleId="176">
    <w:name w:val="Header"/>
    <w:basedOn w:val="693"/>
    <w:link w:val="177"/>
    <w:uiPriority w:val="99"/>
    <w:unhideWhenUsed/>
    <w:pPr>
      <w:pBdr/>
      <w:tabs>
        <w:tab w:val="center" w:leader="none" w:pos="4844"/>
        <w:tab w:val="right" w:leader="none" w:pos="9689"/>
      </w:tabs>
      <w:spacing w:after="0" w:line="240" w:lineRule="auto"/>
      <w:ind/>
    </w:pPr>
  </w:style>
  <w:style w:type="character" w:styleId="177">
    <w:name w:val="Header Char"/>
    <w:basedOn w:val="703"/>
    <w:link w:val="176"/>
    <w:uiPriority w:val="99"/>
    <w:pPr>
      <w:pBdr/>
      <w:spacing/>
      <w:ind/>
    </w:pPr>
  </w:style>
  <w:style w:type="paragraph" w:styleId="178">
    <w:name w:val="Footer"/>
    <w:basedOn w:val="693"/>
    <w:link w:val="179"/>
    <w:uiPriority w:val="99"/>
    <w:unhideWhenUsed/>
    <w:pPr>
      <w:pBdr/>
      <w:tabs>
        <w:tab w:val="center" w:leader="none" w:pos="4844"/>
        <w:tab w:val="right" w:leader="none" w:pos="9689"/>
      </w:tabs>
      <w:spacing w:after="0" w:line="240" w:lineRule="auto"/>
      <w:ind/>
    </w:pPr>
  </w:style>
  <w:style w:type="character" w:styleId="179">
    <w:name w:val="Footer Char"/>
    <w:basedOn w:val="703"/>
    <w:link w:val="178"/>
    <w:uiPriority w:val="99"/>
    <w:pPr>
      <w:pBdr/>
      <w:spacing/>
      <w:ind/>
    </w:pPr>
  </w:style>
  <w:style w:type="paragraph" w:styleId="180">
    <w:name w:val="Caption"/>
    <w:basedOn w:val="693"/>
    <w:next w:val="693"/>
    <w:uiPriority w:val="35"/>
    <w:unhideWhenUsed/>
    <w:qFormat/>
    <w:pPr>
      <w:pBdr/>
      <w:spacing w:after="200" w:line="240" w:lineRule="auto"/>
      <w:ind/>
    </w:pPr>
    <w:rPr>
      <w:i/>
      <w:iCs/>
      <w:color w:val="0e2841" w:themeColor="text2"/>
      <w:sz w:val="18"/>
      <w:szCs w:val="18"/>
    </w:rPr>
  </w:style>
  <w:style w:type="paragraph" w:styleId="181">
    <w:name w:val="footnote text"/>
    <w:basedOn w:val="693"/>
    <w:link w:val="182"/>
    <w:uiPriority w:val="99"/>
    <w:semiHidden/>
    <w:unhideWhenUsed/>
    <w:pPr>
      <w:pBdr/>
      <w:spacing w:after="0" w:line="240" w:lineRule="auto"/>
      <w:ind/>
    </w:pPr>
    <w:rPr>
      <w:sz w:val="20"/>
      <w:szCs w:val="20"/>
    </w:rPr>
  </w:style>
  <w:style w:type="character" w:styleId="182">
    <w:name w:val="Footnote Text Char"/>
    <w:basedOn w:val="703"/>
    <w:link w:val="181"/>
    <w:uiPriority w:val="99"/>
    <w:semiHidden/>
    <w:pPr>
      <w:pBdr/>
      <w:spacing/>
      <w:ind/>
    </w:pPr>
    <w:rPr>
      <w:sz w:val="20"/>
      <w:szCs w:val="20"/>
    </w:rPr>
  </w:style>
  <w:style w:type="character" w:styleId="183">
    <w:name w:val="footnote reference"/>
    <w:basedOn w:val="703"/>
    <w:uiPriority w:val="99"/>
    <w:semiHidden/>
    <w:unhideWhenUsed/>
    <w:pPr>
      <w:pBdr/>
      <w:spacing/>
      <w:ind/>
    </w:pPr>
    <w:rPr>
      <w:vertAlign w:val="superscript"/>
    </w:rPr>
  </w:style>
  <w:style w:type="paragraph" w:styleId="184">
    <w:name w:val="endnote text"/>
    <w:basedOn w:val="693"/>
    <w:link w:val="185"/>
    <w:uiPriority w:val="99"/>
    <w:semiHidden/>
    <w:unhideWhenUsed/>
    <w:pPr>
      <w:pBdr/>
      <w:spacing w:after="0" w:line="240" w:lineRule="auto"/>
      <w:ind/>
    </w:pPr>
    <w:rPr>
      <w:sz w:val="20"/>
      <w:szCs w:val="20"/>
    </w:rPr>
  </w:style>
  <w:style w:type="character" w:styleId="185">
    <w:name w:val="Endnote Text Char"/>
    <w:basedOn w:val="703"/>
    <w:link w:val="184"/>
    <w:uiPriority w:val="99"/>
    <w:semiHidden/>
    <w:pPr>
      <w:pBdr/>
      <w:spacing/>
      <w:ind/>
    </w:pPr>
    <w:rPr>
      <w:sz w:val="20"/>
      <w:szCs w:val="20"/>
    </w:rPr>
  </w:style>
  <w:style w:type="character" w:styleId="186">
    <w:name w:val="endnote reference"/>
    <w:basedOn w:val="703"/>
    <w:uiPriority w:val="99"/>
    <w:semiHidden/>
    <w:unhideWhenUsed/>
    <w:pPr>
      <w:pBdr/>
      <w:spacing/>
      <w:ind/>
    </w:pPr>
    <w:rPr>
      <w:vertAlign w:val="superscript"/>
    </w:rPr>
  </w:style>
  <w:style w:type="character" w:styleId="187">
    <w:name w:val="Hyperlink"/>
    <w:basedOn w:val="703"/>
    <w:uiPriority w:val="99"/>
    <w:unhideWhenUsed/>
    <w:pPr>
      <w:pBdr/>
      <w:spacing/>
      <w:ind/>
    </w:pPr>
    <w:rPr>
      <w:color w:val="0563c1" w:themeColor="hyperlink"/>
      <w:u w:val="single"/>
    </w:rPr>
  </w:style>
  <w:style w:type="character" w:styleId="188">
    <w:name w:val="FollowedHyperlink"/>
    <w:basedOn w:val="703"/>
    <w:uiPriority w:val="99"/>
    <w:semiHidden/>
    <w:unhideWhenUsed/>
    <w:pPr>
      <w:pBdr/>
      <w:spacing/>
      <w:ind/>
    </w:pPr>
    <w:rPr>
      <w:color w:val="954f72" w:themeColor="followedHyperlink"/>
      <w:u w:val="single"/>
    </w:rPr>
  </w:style>
  <w:style w:type="paragraph" w:styleId="189">
    <w:name w:val="toc 1"/>
    <w:basedOn w:val="693"/>
    <w:next w:val="693"/>
    <w:uiPriority w:val="39"/>
    <w:unhideWhenUsed/>
    <w:pPr>
      <w:pBdr/>
      <w:spacing w:after="100"/>
      <w:ind/>
    </w:pPr>
  </w:style>
  <w:style w:type="paragraph" w:styleId="190">
    <w:name w:val="toc 2"/>
    <w:basedOn w:val="693"/>
    <w:next w:val="693"/>
    <w:uiPriority w:val="39"/>
    <w:unhideWhenUsed/>
    <w:pPr>
      <w:pBdr/>
      <w:spacing w:after="100"/>
      <w:ind w:left="220"/>
    </w:pPr>
  </w:style>
  <w:style w:type="paragraph" w:styleId="191">
    <w:name w:val="toc 3"/>
    <w:basedOn w:val="693"/>
    <w:next w:val="693"/>
    <w:uiPriority w:val="39"/>
    <w:unhideWhenUsed/>
    <w:pPr>
      <w:pBdr/>
      <w:spacing w:after="100"/>
      <w:ind w:left="440"/>
    </w:pPr>
  </w:style>
  <w:style w:type="paragraph" w:styleId="192">
    <w:name w:val="toc 4"/>
    <w:basedOn w:val="693"/>
    <w:next w:val="693"/>
    <w:uiPriority w:val="39"/>
    <w:unhideWhenUsed/>
    <w:pPr>
      <w:pBdr/>
      <w:spacing w:after="100"/>
      <w:ind w:left="660"/>
    </w:pPr>
  </w:style>
  <w:style w:type="paragraph" w:styleId="193">
    <w:name w:val="toc 5"/>
    <w:basedOn w:val="693"/>
    <w:next w:val="693"/>
    <w:uiPriority w:val="39"/>
    <w:unhideWhenUsed/>
    <w:pPr>
      <w:pBdr/>
      <w:spacing w:after="100"/>
      <w:ind w:left="880"/>
    </w:pPr>
  </w:style>
  <w:style w:type="paragraph" w:styleId="194">
    <w:name w:val="toc 6"/>
    <w:basedOn w:val="693"/>
    <w:next w:val="693"/>
    <w:uiPriority w:val="39"/>
    <w:unhideWhenUsed/>
    <w:pPr>
      <w:pBdr/>
      <w:spacing w:after="100"/>
      <w:ind w:left="1100"/>
    </w:pPr>
  </w:style>
  <w:style w:type="paragraph" w:styleId="195">
    <w:name w:val="toc 7"/>
    <w:basedOn w:val="693"/>
    <w:next w:val="693"/>
    <w:uiPriority w:val="39"/>
    <w:unhideWhenUsed/>
    <w:pPr>
      <w:pBdr/>
      <w:spacing w:after="100"/>
      <w:ind w:left="1320"/>
    </w:pPr>
  </w:style>
  <w:style w:type="paragraph" w:styleId="196">
    <w:name w:val="toc 8"/>
    <w:basedOn w:val="693"/>
    <w:next w:val="693"/>
    <w:uiPriority w:val="39"/>
    <w:unhideWhenUsed/>
    <w:pPr>
      <w:pBdr/>
      <w:spacing w:after="100"/>
      <w:ind w:left="1540"/>
    </w:pPr>
  </w:style>
  <w:style w:type="paragraph" w:styleId="197">
    <w:name w:val="toc 9"/>
    <w:basedOn w:val="693"/>
    <w:next w:val="693"/>
    <w:uiPriority w:val="39"/>
    <w:unhideWhenUsed/>
    <w:pPr>
      <w:pBdr/>
      <w:spacing w:after="100"/>
      <w:ind w:left="1760"/>
    </w:pPr>
  </w:style>
  <w:style w:type="character" w:styleId="198">
    <w:name w:val="Placeholder Text"/>
    <w:basedOn w:val="7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93"/>
    <w:next w:val="693"/>
    <w:uiPriority w:val="99"/>
    <w:unhideWhenUsed/>
    <w:pPr>
      <w:pBdr/>
      <w:spacing w:after="0" w:afterAutospacing="0"/>
      <w:ind/>
    </w:pPr>
  </w:style>
  <w:style w:type="paragraph" w:styleId="693" w:default="1">
    <w:name w:val="Normal"/>
    <w:qFormat/>
    <w:pPr>
      <w:pBdr/>
      <w:spacing/>
      <w:ind/>
    </w:pPr>
  </w:style>
  <w:style w:type="paragraph" w:styleId="694">
    <w:name w:val="Heading 1"/>
    <w:basedOn w:val="693"/>
    <w:next w:val="693"/>
    <w:link w:val="70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95">
    <w:name w:val="Heading 2"/>
    <w:basedOn w:val="693"/>
    <w:next w:val="693"/>
    <w:link w:val="707"/>
    <w:uiPriority w:val="9"/>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96">
    <w:name w:val="Heading 3"/>
    <w:basedOn w:val="693"/>
    <w:next w:val="693"/>
    <w:link w:val="70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697">
    <w:name w:val="Heading 4"/>
    <w:basedOn w:val="693"/>
    <w:next w:val="693"/>
    <w:link w:val="70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698">
    <w:name w:val="Heading 5"/>
    <w:basedOn w:val="693"/>
    <w:next w:val="693"/>
    <w:link w:val="71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699">
    <w:name w:val="Heading 6"/>
    <w:basedOn w:val="693"/>
    <w:next w:val="693"/>
    <w:link w:val="71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00">
    <w:name w:val="Heading 7"/>
    <w:basedOn w:val="693"/>
    <w:next w:val="693"/>
    <w:link w:val="71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01">
    <w:name w:val="Heading 8"/>
    <w:basedOn w:val="693"/>
    <w:next w:val="693"/>
    <w:link w:val="71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02">
    <w:name w:val="Heading 9"/>
    <w:basedOn w:val="693"/>
    <w:next w:val="693"/>
    <w:link w:val="71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03" w:default="1">
    <w:name w:val="Default Paragraph Font"/>
    <w:uiPriority w:val="1"/>
    <w:semiHidden/>
    <w:unhideWhenUsed/>
    <w:pPr>
      <w:pBdr/>
      <w:spacing/>
      <w:ind/>
    </w:pPr>
  </w:style>
  <w:style w:type="table" w:styleId="7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05" w:default="1">
    <w:name w:val="No List"/>
    <w:uiPriority w:val="99"/>
    <w:semiHidden/>
    <w:unhideWhenUsed/>
    <w:pPr>
      <w:pBdr/>
      <w:spacing/>
      <w:ind/>
    </w:pPr>
  </w:style>
  <w:style w:type="character" w:styleId="706" w:customStyle="1">
    <w:name w:val="Titre 1 Car"/>
    <w:basedOn w:val="703"/>
    <w:link w:val="694"/>
    <w:uiPriority w:val="9"/>
    <w:pPr>
      <w:pBdr/>
      <w:spacing/>
      <w:ind/>
    </w:pPr>
    <w:rPr>
      <w:rFonts w:asciiTheme="majorHAnsi" w:hAnsiTheme="majorHAnsi" w:eastAsiaTheme="majorEastAsia" w:cstheme="majorBidi"/>
      <w:color w:val="0f4761" w:themeColor="accent1" w:themeShade="BF"/>
      <w:sz w:val="40"/>
      <w:szCs w:val="40"/>
    </w:rPr>
  </w:style>
  <w:style w:type="character" w:styleId="707" w:customStyle="1">
    <w:name w:val="Titre 2 Car"/>
    <w:basedOn w:val="703"/>
    <w:link w:val="695"/>
    <w:uiPriority w:val="9"/>
    <w:pPr>
      <w:pBdr/>
      <w:spacing/>
      <w:ind/>
    </w:pPr>
    <w:rPr>
      <w:rFonts w:asciiTheme="majorHAnsi" w:hAnsiTheme="majorHAnsi" w:eastAsiaTheme="majorEastAsia" w:cstheme="majorBidi"/>
      <w:color w:val="0f4761" w:themeColor="accent1" w:themeShade="BF"/>
      <w:sz w:val="32"/>
      <w:szCs w:val="32"/>
    </w:rPr>
  </w:style>
  <w:style w:type="character" w:styleId="708" w:customStyle="1">
    <w:name w:val="Titre 3 Car"/>
    <w:basedOn w:val="703"/>
    <w:link w:val="696"/>
    <w:uiPriority w:val="9"/>
    <w:semiHidden/>
    <w:pPr>
      <w:pBdr/>
      <w:spacing/>
      <w:ind/>
    </w:pPr>
    <w:rPr>
      <w:rFonts w:eastAsiaTheme="majorEastAsia" w:cstheme="majorBidi"/>
      <w:color w:val="0f4761" w:themeColor="accent1" w:themeShade="BF"/>
      <w:sz w:val="28"/>
      <w:szCs w:val="28"/>
    </w:rPr>
  </w:style>
  <w:style w:type="character" w:styleId="709" w:customStyle="1">
    <w:name w:val="Titre 4 Car"/>
    <w:basedOn w:val="703"/>
    <w:link w:val="697"/>
    <w:uiPriority w:val="9"/>
    <w:semiHidden/>
    <w:pPr>
      <w:pBdr/>
      <w:spacing/>
      <w:ind/>
    </w:pPr>
    <w:rPr>
      <w:rFonts w:eastAsiaTheme="majorEastAsia" w:cstheme="majorBidi"/>
      <w:i/>
      <w:iCs/>
      <w:color w:val="0f4761" w:themeColor="accent1" w:themeShade="BF"/>
    </w:rPr>
  </w:style>
  <w:style w:type="character" w:styleId="710" w:customStyle="1">
    <w:name w:val="Titre 5 Car"/>
    <w:basedOn w:val="703"/>
    <w:link w:val="698"/>
    <w:uiPriority w:val="9"/>
    <w:semiHidden/>
    <w:pPr>
      <w:pBdr/>
      <w:spacing/>
      <w:ind/>
    </w:pPr>
    <w:rPr>
      <w:rFonts w:eastAsiaTheme="majorEastAsia" w:cstheme="majorBidi"/>
      <w:color w:val="0f4761" w:themeColor="accent1" w:themeShade="BF"/>
    </w:rPr>
  </w:style>
  <w:style w:type="character" w:styleId="711" w:customStyle="1">
    <w:name w:val="Titre 6 Car"/>
    <w:basedOn w:val="703"/>
    <w:link w:val="699"/>
    <w:uiPriority w:val="9"/>
    <w:semiHidden/>
    <w:pPr>
      <w:pBdr/>
      <w:spacing/>
      <w:ind/>
    </w:pPr>
    <w:rPr>
      <w:rFonts w:eastAsiaTheme="majorEastAsia" w:cstheme="majorBidi"/>
      <w:i/>
      <w:iCs/>
      <w:color w:val="595959" w:themeColor="text1" w:themeTint="A6"/>
    </w:rPr>
  </w:style>
  <w:style w:type="character" w:styleId="712" w:customStyle="1">
    <w:name w:val="Titre 7 Car"/>
    <w:basedOn w:val="703"/>
    <w:link w:val="700"/>
    <w:uiPriority w:val="9"/>
    <w:semiHidden/>
    <w:pPr>
      <w:pBdr/>
      <w:spacing/>
      <w:ind/>
    </w:pPr>
    <w:rPr>
      <w:rFonts w:eastAsiaTheme="majorEastAsia" w:cstheme="majorBidi"/>
      <w:color w:val="595959" w:themeColor="text1" w:themeTint="A6"/>
    </w:rPr>
  </w:style>
  <w:style w:type="character" w:styleId="713" w:customStyle="1">
    <w:name w:val="Titre 8 Car"/>
    <w:basedOn w:val="703"/>
    <w:link w:val="701"/>
    <w:uiPriority w:val="9"/>
    <w:semiHidden/>
    <w:pPr>
      <w:pBdr/>
      <w:spacing/>
      <w:ind/>
    </w:pPr>
    <w:rPr>
      <w:rFonts w:eastAsiaTheme="majorEastAsia" w:cstheme="majorBidi"/>
      <w:i/>
      <w:iCs/>
      <w:color w:val="272727" w:themeColor="text1" w:themeTint="D8"/>
    </w:rPr>
  </w:style>
  <w:style w:type="character" w:styleId="714" w:customStyle="1">
    <w:name w:val="Titre 9 Car"/>
    <w:basedOn w:val="703"/>
    <w:link w:val="702"/>
    <w:uiPriority w:val="9"/>
    <w:semiHidden/>
    <w:pPr>
      <w:pBdr/>
      <w:spacing/>
      <w:ind/>
    </w:pPr>
    <w:rPr>
      <w:rFonts w:eastAsiaTheme="majorEastAsia" w:cstheme="majorBidi"/>
      <w:color w:val="272727" w:themeColor="text1" w:themeTint="D8"/>
    </w:rPr>
  </w:style>
  <w:style w:type="paragraph" w:styleId="715">
    <w:name w:val="Title"/>
    <w:basedOn w:val="693"/>
    <w:next w:val="693"/>
    <w:link w:val="71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16" w:customStyle="1">
    <w:name w:val="Titre Car"/>
    <w:basedOn w:val="703"/>
    <w:link w:val="715"/>
    <w:uiPriority w:val="10"/>
    <w:pPr>
      <w:pBdr/>
      <w:spacing/>
      <w:ind/>
    </w:pPr>
    <w:rPr>
      <w:rFonts w:asciiTheme="majorHAnsi" w:hAnsiTheme="majorHAnsi" w:eastAsiaTheme="majorEastAsia" w:cstheme="majorBidi"/>
      <w:spacing w:val="-10"/>
      <w:sz w:val="56"/>
      <w:szCs w:val="56"/>
    </w:rPr>
  </w:style>
  <w:style w:type="paragraph" w:styleId="717">
    <w:name w:val="Subtitle"/>
    <w:basedOn w:val="693"/>
    <w:next w:val="693"/>
    <w:link w:val="718"/>
    <w:uiPriority w:val="11"/>
    <w:qFormat/>
    <w:pPr>
      <w:numPr>
        <w:ilvl w:val="1"/>
      </w:numPr>
      <w:pBdr/>
      <w:spacing/>
      <w:ind/>
    </w:pPr>
    <w:rPr>
      <w:rFonts w:eastAsiaTheme="majorEastAsia" w:cstheme="majorBidi"/>
      <w:color w:val="595959" w:themeColor="text1" w:themeTint="A6"/>
      <w:spacing w:val="15"/>
      <w:sz w:val="28"/>
      <w:szCs w:val="28"/>
    </w:rPr>
  </w:style>
  <w:style w:type="character" w:styleId="718" w:customStyle="1">
    <w:name w:val="Sous-titre Car"/>
    <w:basedOn w:val="703"/>
    <w:link w:val="717"/>
    <w:uiPriority w:val="11"/>
    <w:pPr>
      <w:pBdr/>
      <w:spacing/>
      <w:ind/>
    </w:pPr>
    <w:rPr>
      <w:rFonts w:eastAsiaTheme="majorEastAsia" w:cstheme="majorBidi"/>
      <w:color w:val="595959" w:themeColor="text1" w:themeTint="A6"/>
      <w:spacing w:val="15"/>
      <w:sz w:val="28"/>
      <w:szCs w:val="28"/>
    </w:rPr>
  </w:style>
  <w:style w:type="paragraph" w:styleId="719">
    <w:name w:val="Quote"/>
    <w:basedOn w:val="693"/>
    <w:next w:val="693"/>
    <w:link w:val="720"/>
    <w:uiPriority w:val="29"/>
    <w:qFormat/>
    <w:pPr>
      <w:pBdr/>
      <w:spacing w:before="160"/>
      <w:ind/>
      <w:jc w:val="center"/>
    </w:pPr>
    <w:rPr>
      <w:i/>
      <w:iCs/>
      <w:color w:val="404040" w:themeColor="text1" w:themeTint="BF"/>
    </w:rPr>
  </w:style>
  <w:style w:type="character" w:styleId="720" w:customStyle="1">
    <w:name w:val="Citation Car"/>
    <w:basedOn w:val="703"/>
    <w:link w:val="719"/>
    <w:uiPriority w:val="29"/>
    <w:pPr>
      <w:pBdr/>
      <w:spacing/>
      <w:ind/>
    </w:pPr>
    <w:rPr>
      <w:i/>
      <w:iCs/>
      <w:color w:val="404040" w:themeColor="text1" w:themeTint="BF"/>
    </w:rPr>
  </w:style>
  <w:style w:type="paragraph" w:styleId="721">
    <w:name w:val="List Paragraph"/>
    <w:basedOn w:val="693"/>
    <w:uiPriority w:val="34"/>
    <w:qFormat/>
    <w:pPr>
      <w:pBdr/>
      <w:spacing/>
      <w:ind w:left="720"/>
      <w:contextualSpacing w:val="true"/>
    </w:pPr>
  </w:style>
  <w:style w:type="character" w:styleId="722">
    <w:name w:val="Intense Emphasis"/>
    <w:basedOn w:val="703"/>
    <w:uiPriority w:val="21"/>
    <w:qFormat/>
    <w:pPr>
      <w:pBdr/>
      <w:spacing/>
      <w:ind/>
    </w:pPr>
    <w:rPr>
      <w:i/>
      <w:iCs/>
      <w:color w:val="0f4761" w:themeColor="accent1" w:themeShade="BF"/>
    </w:rPr>
  </w:style>
  <w:style w:type="paragraph" w:styleId="723">
    <w:name w:val="Intense Quote"/>
    <w:basedOn w:val="693"/>
    <w:next w:val="693"/>
    <w:link w:val="72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24" w:customStyle="1">
    <w:name w:val="Citation intense Car"/>
    <w:basedOn w:val="703"/>
    <w:link w:val="723"/>
    <w:uiPriority w:val="30"/>
    <w:pPr>
      <w:pBdr/>
      <w:spacing/>
      <w:ind/>
    </w:pPr>
    <w:rPr>
      <w:i/>
      <w:iCs/>
      <w:color w:val="0f4761" w:themeColor="accent1" w:themeShade="BF"/>
    </w:rPr>
  </w:style>
  <w:style w:type="character" w:styleId="725">
    <w:name w:val="Intense Reference"/>
    <w:basedOn w:val="703"/>
    <w:uiPriority w:val="32"/>
    <w:qFormat/>
    <w:pPr>
      <w:pBdr/>
      <w:spacing/>
      <w:ind/>
    </w:pPr>
    <w:rPr>
      <w:b/>
      <w:bCs/>
      <w:smallCaps/>
      <w:color w:val="0f4761" w:themeColor="accent1" w:themeShade="BF"/>
      <w:spacing w:val="5"/>
    </w:rPr>
  </w:style>
  <w:style w:type="character" w:styleId="726">
    <w:name w:val="annotation reference"/>
    <w:basedOn w:val="703"/>
    <w:uiPriority w:val="99"/>
    <w:semiHidden/>
    <w:unhideWhenUsed/>
    <w:pPr>
      <w:pBdr/>
      <w:spacing/>
      <w:ind/>
    </w:pPr>
    <w:rPr>
      <w:sz w:val="16"/>
      <w:szCs w:val="16"/>
    </w:rPr>
  </w:style>
  <w:style w:type="paragraph" w:styleId="727">
    <w:name w:val="annotation text"/>
    <w:basedOn w:val="693"/>
    <w:link w:val="728"/>
    <w:uiPriority w:val="99"/>
    <w:unhideWhenUsed/>
    <w:pPr>
      <w:pBdr/>
      <w:spacing w:line="240" w:lineRule="auto"/>
      <w:ind/>
    </w:pPr>
    <w:rPr>
      <w:sz w:val="20"/>
      <w:szCs w:val="20"/>
    </w:rPr>
  </w:style>
  <w:style w:type="character" w:styleId="728" w:customStyle="1">
    <w:name w:val="Commentaire Car"/>
    <w:basedOn w:val="703"/>
    <w:link w:val="727"/>
    <w:uiPriority w:val="99"/>
    <w:pPr>
      <w:pBdr/>
      <w:spacing/>
      <w:ind/>
    </w:pPr>
    <w:rPr>
      <w:sz w:val="20"/>
      <w:szCs w:val="20"/>
    </w:rPr>
  </w:style>
  <w:style w:type="paragraph" w:styleId="729">
    <w:name w:val="annotation subject"/>
    <w:basedOn w:val="727"/>
    <w:next w:val="727"/>
    <w:link w:val="730"/>
    <w:uiPriority w:val="99"/>
    <w:semiHidden/>
    <w:unhideWhenUsed/>
    <w:pPr>
      <w:pBdr/>
      <w:spacing/>
      <w:ind/>
    </w:pPr>
    <w:rPr>
      <w:b/>
      <w:bCs/>
    </w:rPr>
  </w:style>
  <w:style w:type="character" w:styleId="730" w:customStyle="1">
    <w:name w:val="Objet du commentaire Car"/>
    <w:basedOn w:val="728"/>
    <w:link w:val="729"/>
    <w:uiPriority w:val="99"/>
    <w:semiHidden/>
    <w:pPr>
      <w:pBdr/>
      <w:spacing/>
      <w:ind/>
    </w:pPr>
    <w:rPr>
      <w:b/>
      <w:bCs/>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customXml" Target="../customXml/item2.xml" /><Relationship Id="rId11" Type="http://schemas.openxmlformats.org/officeDocument/2006/relationships/customXml" Target="../customXml/item3.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12c2b6-9889-4bda-b798-af14bc8cbba8">
      <Terms xmlns="http://schemas.microsoft.com/office/infopath/2007/PartnerControls"/>
    </lcf76f155ced4ddcb4097134ff3c332f>
    <TaxCatchAll xmlns="8e90294b-f107-4eba-b0ee-1aa990cf7f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5BFACADA7A84F939756C64B89C8F8" ma:contentTypeVersion="12" ma:contentTypeDescription="Crée un document." ma:contentTypeScope="" ma:versionID="23934453d8893bc96f3dc87bd7978dfe">
  <xsd:schema xmlns:xsd="http://www.w3.org/2001/XMLSchema" xmlns:xs="http://www.w3.org/2001/XMLSchema" xmlns:p="http://schemas.microsoft.com/office/2006/metadata/properties" xmlns:ns2="c012c2b6-9889-4bda-b798-af14bc8cbba8" xmlns:ns3="8e90294b-f107-4eba-b0ee-1aa990cf7f16" targetNamespace="http://schemas.microsoft.com/office/2006/metadata/properties" ma:root="true" ma:fieldsID="33f993b6876dbe9bb664b60a75094682" ns2:_="" ns3:_="">
    <xsd:import namespace="c012c2b6-9889-4bda-b798-af14bc8cbba8"/>
    <xsd:import namespace="8e90294b-f107-4eba-b0ee-1aa990cf7f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2c2b6-9889-4bda-b798-af14bc8cbb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675fe83f-fd97-4c1a-bd39-5147945153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90294b-f107-4eba-b0ee-1aa990cf7f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07fa02b-26f2-436a-b31c-1674a6584e1f}" ma:internalName="TaxCatchAll" ma:showField="CatchAllData" ma:web="8e90294b-f107-4eba-b0ee-1aa990cf7f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A31AB-EA2F-4EE1-BBC8-A2F4A7CC0BF2">
  <ds:schemaRefs>
    <ds:schemaRef ds:uri="http://schemas.microsoft.com/office/2006/metadata/properties"/>
    <ds:schemaRef ds:uri="http://schemas.microsoft.com/office/infopath/2007/PartnerControls"/>
    <ds:schemaRef ds:uri="c012c2b6-9889-4bda-b798-af14bc8cbba8"/>
    <ds:schemaRef ds:uri="8e90294b-f107-4eba-b0ee-1aa990cf7f16"/>
    <ds:schemaRef ds:uri="http://www.w3.org/2001/XMLSchema-instance"/>
  </ds:schemaRefs>
</ds:datastoreItem>
</file>

<file path=customXml/itemProps2.xml><?xml version="1.0" encoding="utf-8"?>
<ds:datastoreItem xmlns:ds="http://schemas.openxmlformats.org/officeDocument/2006/customXml" ds:itemID="06E6E22B-6C24-4870-9AB1-E51320E11330">
  <ds:schemaRefs>
    <ds:schemaRef ds:uri="http://schemas.microsoft.com/sharepoint/v3/contenttype/forms"/>
  </ds:schemaRefs>
</ds:datastoreItem>
</file>

<file path=customXml/itemProps3.xml><?xml version="1.0" encoding="utf-8"?>
<ds:datastoreItem xmlns:ds="http://schemas.openxmlformats.org/officeDocument/2006/customXml" ds:itemID="2ECA836B-7A41-4023-AA77-1DCADD1D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2c2b6-9889-4bda-b798-af14bc8cbba8"/>
    <ds:schemaRef ds:uri="8e90294b-f107-4eba-b0ee-1aa990cf7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DEBELLE Tony</dc:creator>
  <cp:keywords/>
  <dc:description/>
  <cp:lastModifiedBy>Marianne VEBR</cp:lastModifiedBy>
  <cp:revision>10</cp:revision>
  <dcterms:created xsi:type="dcterms:W3CDTF">2026-06-16T14:41:00Z</dcterms:created>
  <dcterms:modified xsi:type="dcterms:W3CDTF">2026-06-25T11:41:02Z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0x0101005C95BFACADA7A84F939756C64B89C8F8</vt:lpwstr>
  </property>
</Properties>
</file>